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附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件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1</w:t>
      </w:r>
    </w:p>
    <w:p>
      <w:pPr>
        <w:pStyle w:val="2"/>
        <w:spacing w:line="260" w:lineRule="auto"/>
      </w:pPr>
    </w:p>
    <w:p>
      <w:pPr>
        <w:spacing w:before="143" w:line="265" w:lineRule="auto"/>
        <w:ind w:left="2705" w:right="1793" w:hanging="879"/>
        <w:rPr>
          <w:rFonts w:ascii="宋体" w:hAnsi="宋体" w:eastAsia="宋体" w:cs="宋体"/>
          <w:sz w:val="44"/>
          <w:szCs w:val="44"/>
        </w:rPr>
      </w:pPr>
      <w:bookmarkStart w:id="0" w:name="OLE_LINK1"/>
      <w:r>
        <w:rPr>
          <w:rFonts w:hint="eastAsia" w:ascii="宋体" w:hAnsi="宋体" w:eastAsia="宋体" w:cs="宋体"/>
          <w:b/>
          <w:bCs/>
          <w:spacing w:val="-5"/>
          <w:sz w:val="44"/>
          <w:szCs w:val="44"/>
          <w:lang w:eastAsia="zh-CN"/>
        </w:rPr>
        <w:t>市</w:t>
      </w:r>
      <w:bookmarkEnd w:id="0"/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级国有资本经营预算编制</w:t>
      </w:r>
      <w:r>
        <w:rPr>
          <w:rFonts w:ascii="宋体" w:hAnsi="宋体" w:eastAsia="宋体" w:cs="宋体"/>
          <w:spacing w:val="8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年度建议草案报告</w:t>
      </w:r>
    </w:p>
    <w:p>
      <w:pPr>
        <w:spacing w:before="127" w:line="227" w:lineRule="auto"/>
        <w:ind w:left="3630"/>
        <w:rPr>
          <w:rFonts w:ascii="楷体" w:hAnsi="楷体" w:eastAsia="楷体" w:cs="楷体"/>
          <w:sz w:val="31"/>
          <w:szCs w:val="31"/>
        </w:rPr>
      </w:pPr>
      <w:bookmarkStart w:id="2" w:name="_GoBack"/>
      <w:bookmarkEnd w:id="2"/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spacing w:before="101" w:line="222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一、国有资本经营预算收入</w:t>
      </w:r>
    </w:p>
    <w:p>
      <w:pPr>
        <w:spacing w:before="252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包括且不限于以下方面内容：</w:t>
      </w:r>
    </w:p>
    <w:p>
      <w:pPr>
        <w:spacing w:before="189" w:line="341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1.企业基本情况。包括：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一级企业户数、申报国有资本收益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企业户数(含按政策规定免交收益的企业),企</w:t>
      </w:r>
      <w:r>
        <w:rPr>
          <w:rFonts w:ascii="仿宋" w:hAnsi="仿宋" w:eastAsia="仿宋" w:cs="仿宋"/>
          <w:spacing w:val="23"/>
          <w:sz w:val="31"/>
          <w:szCs w:val="31"/>
        </w:rPr>
        <w:t>业行业分布，企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业资产、负债、所有者权益总体情况和变动情况，企业总体营收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情况和主要影响因素，企业总体净利润情况和主要影响因素等；</w:t>
      </w:r>
    </w:p>
    <w:p>
      <w:pPr>
        <w:spacing w:before="247" w:line="337" w:lineRule="auto"/>
        <w:ind w:left="60" w:right="24" w:firstLine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2.年度预算收入预计情况。根据企业最近一期快报数和当年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经营运行情况，经测算，预计实现国有资本经营预算收入。当年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国有资本经营预算收入预计数和上年国有资本经营预算实际收 </w:t>
      </w:r>
      <w:r>
        <w:rPr>
          <w:rFonts w:ascii="仿宋" w:hAnsi="仿宋" w:eastAsia="仿宋" w:cs="仿宋"/>
          <w:spacing w:val="5"/>
          <w:sz w:val="31"/>
          <w:szCs w:val="31"/>
        </w:rPr>
        <w:t>入数增减变化额度及变化原因。</w:t>
      </w:r>
    </w:p>
    <w:p>
      <w:pPr>
        <w:spacing w:before="263" w:line="222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二、国有资本经营预算支出安排</w:t>
      </w:r>
    </w:p>
    <w:p>
      <w:pPr>
        <w:spacing w:before="311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包括且不限于以下方面内容：</w:t>
      </w:r>
    </w:p>
    <w:p>
      <w:pPr>
        <w:spacing w:before="234" w:line="287" w:lineRule="auto"/>
        <w:ind w:left="60" w:right="75" w:firstLine="58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1.</w:t>
      </w:r>
      <w:r>
        <w:rPr>
          <w:rFonts w:ascii="仿宋" w:hAnsi="仿宋" w:eastAsia="仿宋" w:cs="仿宋"/>
          <w:spacing w:val="4"/>
          <w:sz w:val="31"/>
          <w:szCs w:val="31"/>
        </w:rPr>
        <w:t>根据</w:t>
      </w:r>
      <w:r>
        <w:rPr>
          <w:rFonts w:hint="eastAsia" w:ascii="新宋体" w:hAnsi="新宋体" w:eastAsia="新宋体" w:cs="新宋体"/>
          <w:b w:val="0"/>
          <w:bCs w:val="0"/>
          <w:spacing w:val="-5"/>
          <w:sz w:val="32"/>
          <w:szCs w:val="32"/>
          <w:lang w:eastAsia="zh-CN"/>
        </w:rPr>
        <w:t>市</w:t>
      </w:r>
      <w:r>
        <w:rPr>
          <w:rFonts w:ascii="仿宋" w:hAnsi="仿宋" w:eastAsia="仿宋" w:cs="仿宋"/>
          <w:spacing w:val="4"/>
          <w:sz w:val="31"/>
          <w:szCs w:val="31"/>
        </w:rPr>
        <w:t>级国有资本经营预算支出政策，说明年度国有资本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经营预算支出安排总体规模及分类；</w:t>
      </w:r>
    </w:p>
    <w:p>
      <w:pPr>
        <w:spacing w:before="186" w:line="220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2.</w:t>
      </w:r>
      <w:r>
        <w:rPr>
          <w:rFonts w:ascii="仿宋" w:hAnsi="仿宋" w:eastAsia="仿宋" w:cs="仿宋"/>
          <w:spacing w:val="10"/>
          <w:sz w:val="31"/>
          <w:szCs w:val="31"/>
        </w:rPr>
        <w:t>各项费用性支出立项的依据(经</w:t>
      </w:r>
      <w:bookmarkStart w:id="1" w:name="OLE_LINK2"/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市</w:t>
      </w:r>
      <w:bookmarkEnd w:id="1"/>
      <w:r>
        <w:rPr>
          <w:rFonts w:ascii="仿宋" w:hAnsi="仿宋" w:eastAsia="仿宋" w:cs="仿宋"/>
          <w:spacing w:val="10"/>
          <w:sz w:val="31"/>
          <w:szCs w:val="31"/>
        </w:rPr>
        <w:t>委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市</w:t>
      </w:r>
      <w:r>
        <w:rPr>
          <w:rFonts w:ascii="仿宋" w:hAnsi="仿宋" w:eastAsia="仿宋" w:cs="仿宋"/>
          <w:spacing w:val="10"/>
          <w:sz w:val="31"/>
          <w:szCs w:val="31"/>
        </w:rPr>
        <w:t>政府批准同意的相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840" w:h="16940"/>
          <w:pgMar w:top="1439" w:right="1515" w:bottom="1282" w:left="1419" w:header="0" w:footer="1147" w:gutter="0"/>
          <w:cols w:space="720" w:num="1"/>
        </w:sectPr>
      </w:pPr>
    </w:p>
    <w:p>
      <w:pPr>
        <w:pStyle w:val="2"/>
        <w:spacing w:line="444" w:lineRule="auto"/>
      </w:pPr>
    </w:p>
    <w:p>
      <w:pPr>
        <w:spacing w:before="100" w:line="373" w:lineRule="auto"/>
        <w:ind w:right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关文件)、政策目标、项目具体支出范围、测算依据、标准和资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金需求测算过程等；属于连续支出的项目，上一年度经依法审计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的报告情况；</w:t>
      </w:r>
    </w:p>
    <w:p>
      <w:pPr>
        <w:spacing w:before="1" w:line="337" w:lineRule="auto"/>
        <w:ind w:right="14" w:firstLine="64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3.</w:t>
      </w:r>
      <w:r>
        <w:rPr>
          <w:rFonts w:ascii="仿宋" w:hAnsi="仿宋" w:eastAsia="仿宋" w:cs="仿宋"/>
          <w:spacing w:val="10"/>
          <w:sz w:val="31"/>
          <w:szCs w:val="31"/>
        </w:rPr>
        <w:t>各项资本性支出立项的依据(经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市</w:t>
      </w:r>
      <w:r>
        <w:rPr>
          <w:rFonts w:ascii="仿宋" w:hAnsi="仿宋" w:eastAsia="仿宋" w:cs="仿宋"/>
          <w:spacing w:val="10"/>
          <w:sz w:val="31"/>
          <w:szCs w:val="31"/>
        </w:rPr>
        <w:t>委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市</w:t>
      </w:r>
      <w:r>
        <w:rPr>
          <w:rFonts w:ascii="仿宋" w:hAnsi="仿宋" w:eastAsia="仿宋" w:cs="仿宋"/>
          <w:spacing w:val="10"/>
          <w:sz w:val="31"/>
          <w:szCs w:val="31"/>
        </w:rPr>
        <w:t>政府批准同</w:t>
      </w:r>
      <w:r>
        <w:rPr>
          <w:rFonts w:ascii="仿宋" w:hAnsi="仿宋" w:eastAsia="仿宋" w:cs="仿宋"/>
          <w:spacing w:val="9"/>
          <w:sz w:val="31"/>
          <w:szCs w:val="31"/>
        </w:rPr>
        <w:t>意的相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关文件)、政策目标、项目可行性分析、项目投资方案与资金筹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措方案、项目实施进度与年度计划安排、项目经济效益和社会效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益分析等；</w:t>
      </w:r>
    </w:p>
    <w:p>
      <w:pPr>
        <w:spacing w:before="275" w:line="294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4.上年度国有资本经营预算支出项目执行运行监控情况和</w:t>
      </w:r>
      <w:r>
        <w:rPr>
          <w:rFonts w:ascii="仿宋" w:hAnsi="仿宋" w:eastAsia="仿宋" w:cs="仿宋"/>
          <w:sz w:val="31"/>
          <w:szCs w:val="31"/>
        </w:rPr>
        <w:t xml:space="preserve"> 有关责任的落实情况；</w:t>
      </w:r>
    </w:p>
    <w:p>
      <w:pPr>
        <w:spacing w:before="314" w:line="222" w:lineRule="auto"/>
        <w:ind w:left="649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860" w:h="16940"/>
          <w:pgMar w:top="1439" w:right="1546" w:bottom="1277" w:left="1470" w:header="0" w:footer="1070" w:gutter="0"/>
          <w:cols w:space="720" w:num="1"/>
        </w:sectPr>
      </w:pPr>
      <w:r>
        <w:rPr>
          <w:rFonts w:ascii="仿宋" w:hAnsi="仿宋" w:eastAsia="仿宋" w:cs="仿宋"/>
          <w:spacing w:val="-1"/>
          <w:sz w:val="31"/>
          <w:szCs w:val="31"/>
        </w:rPr>
        <w:t>5.企业编制的组织及企业编报情况。</w:t>
      </w:r>
    </w:p>
    <w:p>
      <w:pPr>
        <w:spacing w:line="240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：</w:t>
      </w:r>
    </w:p>
    <w:sectPr>
      <w:footerReference r:id="rId7" w:type="default"/>
      <w:pgSz w:w="11880" w:h="16940"/>
      <w:pgMar w:top="1439" w:right="1707" w:bottom="1954" w:left="1279" w:header="0" w:footer="17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430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439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1YjgxYjkxMzI5NjA3YmViNzU5Yzc0NjM2ZjBjNGEifQ=="/>
  </w:docVars>
  <w:rsids>
    <w:rsidRoot w:val="00000000"/>
    <w:rsid w:val="0A4437E8"/>
    <w:rsid w:val="195D3F3B"/>
    <w:rsid w:val="25C914EF"/>
    <w:rsid w:val="4D2147DD"/>
    <w:rsid w:val="51EF3816"/>
    <w:rsid w:val="5E347A7F"/>
    <w:rsid w:val="6E5C70B9"/>
    <w:rsid w:val="70734DED"/>
    <w:rsid w:val="713C1725"/>
    <w:rsid w:val="7B4D66FA"/>
    <w:rsid w:val="DEE5E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3827</Words>
  <Characters>4021</Characters>
  <TotalTime>5</TotalTime>
  <ScaleCrop>false</ScaleCrop>
  <LinksUpToDate>false</LinksUpToDate>
  <CharactersWithSpaces>4778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2025-07-05T08:46:00Z</dcterms:created>
  <dc:creator>Administrator</dc:creator>
  <cp:lastModifiedBy>汪巍巍</cp:lastModifiedBy>
  <dcterms:modified xsi:type="dcterms:W3CDTF">2025-08-04T09:19:38Z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2025-07-04T16:46:27Z</vt:filetime>
  </property>
  <property fmtid="{D5CDD505-2E9C-101B-9397-08002B2CF9AE}" pid="4" name="UsrData">
    <vt:lpwstr>686794d9d6b895001fb84ebbwl</vt:lpwstr>
  </property>
  <property fmtid="{D5CDD505-2E9C-101B-9397-08002B2CF9AE}" pid="5" name="KSOTemplateDocerSaveRecord">
    <vt:lpwstr>eyJoZGlkIjoiYzRmMmYzMTY5MDQ4ZjUyMGI0OGNhYmZjZDIwZjRjZTUiLCJ1c2VySWQiOiIzNjUwMDM4MzIifQ==</vt:lpwstr>
  </property>
  <property fmtid="{D5CDD505-2E9C-101B-9397-08002B2CF9AE}" pid="6" name="KSOProductBuildVer">
    <vt:lpwstr>2052-11.8.2.12195</vt:lpwstr>
  </property>
  <property fmtid="{D5CDD505-2E9C-101B-9397-08002B2CF9AE}" pid="7" name="ICV">
    <vt:lpwstr>1D89F7D533B24B10B1AE21FEAFC0FC59</vt:lpwstr>
  </property>
</Properties>
</file>